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CE" w:rsidRPr="00D630D4" w:rsidRDefault="008436CE" w:rsidP="00AB5B9A">
      <w:pPr>
        <w:pStyle w:val="NoSpacing"/>
        <w:numPr>
          <w:ilvl w:val="0"/>
          <w:numId w:val="3"/>
        </w:numPr>
        <w:jc w:val="both"/>
        <w:rPr>
          <w:b/>
        </w:rPr>
      </w:pPr>
      <w:r w:rsidRPr="00D630D4">
        <w:rPr>
          <w:b/>
        </w:rPr>
        <w:t>Policy Statement</w:t>
      </w:r>
    </w:p>
    <w:p w:rsidR="008436CE" w:rsidRPr="00D630D4" w:rsidRDefault="002F5B2C" w:rsidP="00AB5B9A">
      <w:pPr>
        <w:pStyle w:val="NoSpacing"/>
        <w:ind w:left="360"/>
        <w:jc w:val="both"/>
      </w:pPr>
      <w:proofErr w:type="spellStart"/>
      <w:r>
        <w:t>The</w:t>
      </w:r>
      <w:r w:rsidR="00690E72" w:rsidRPr="00690E72">
        <w:rPr>
          <w:b/>
        </w:rPr>
        <w:t>Cebu</w:t>
      </w:r>
      <w:proofErr w:type="spellEnd"/>
      <w:r w:rsidR="00690E72" w:rsidRPr="00690E72">
        <w:rPr>
          <w:b/>
        </w:rPr>
        <w:t xml:space="preserve"> Institute of Medicine and Cebu Velez General Hospital</w:t>
      </w:r>
      <w:r w:rsidRPr="00690E72">
        <w:rPr>
          <w:b/>
        </w:rPr>
        <w:t xml:space="preserve"> CIM-CVGH IRB</w:t>
      </w:r>
      <w:r w:rsidR="00AF33AB">
        <w:rPr>
          <w:b/>
        </w:rPr>
        <w:t xml:space="preserve"> </w:t>
      </w:r>
      <w:r>
        <w:t xml:space="preserve">was established to provide guidance to the 2 institutions </w:t>
      </w:r>
      <w:r w:rsidRPr="00690E72">
        <w:rPr>
          <w:b/>
        </w:rPr>
        <w:t>Cebu Institute of Medicine and Cebu Velez General Hospital</w:t>
      </w:r>
      <w:r>
        <w:t xml:space="preserve"> in the conduct of human research</w:t>
      </w:r>
      <w:r w:rsidR="00BA503E" w:rsidRPr="00D630D4">
        <w:t xml:space="preserve">. </w:t>
      </w:r>
      <w:r>
        <w:t xml:space="preserve"> The IRB anchors its guidelines on both national and international standards including but not limited to the Declaration of He</w:t>
      </w:r>
      <w:r w:rsidR="00F773FA">
        <w:t>l</w:t>
      </w:r>
      <w:r>
        <w:t xml:space="preserve">sinki, Belmont Principle, CIOMS, </w:t>
      </w:r>
      <w:proofErr w:type="gramStart"/>
      <w:r>
        <w:t>Good</w:t>
      </w:r>
      <w:proofErr w:type="gramEnd"/>
      <w:r>
        <w:t xml:space="preserve"> clinical Practice.</w:t>
      </w:r>
    </w:p>
    <w:p w:rsidR="00BA503E" w:rsidRPr="00D630D4" w:rsidRDefault="00BA503E" w:rsidP="00AB5B9A">
      <w:pPr>
        <w:pStyle w:val="NoSpacing"/>
        <w:ind w:left="360"/>
        <w:jc w:val="both"/>
      </w:pPr>
    </w:p>
    <w:p w:rsidR="00633DF6" w:rsidRPr="00D630D4" w:rsidRDefault="008436CE" w:rsidP="00AB5B9A">
      <w:pPr>
        <w:pStyle w:val="NoSpacing"/>
        <w:numPr>
          <w:ilvl w:val="0"/>
          <w:numId w:val="3"/>
        </w:numPr>
        <w:jc w:val="both"/>
        <w:rPr>
          <w:b/>
        </w:rPr>
      </w:pPr>
      <w:r w:rsidRPr="00D630D4">
        <w:rPr>
          <w:b/>
        </w:rPr>
        <w:t xml:space="preserve">Objective </w:t>
      </w:r>
    </w:p>
    <w:p w:rsidR="008436CE" w:rsidRPr="00D630D4" w:rsidRDefault="008436CE" w:rsidP="00AB5B9A">
      <w:pPr>
        <w:pStyle w:val="NoSpacing"/>
        <w:ind w:left="360"/>
        <w:jc w:val="both"/>
      </w:pPr>
      <w:r w:rsidRPr="00D630D4">
        <w:t xml:space="preserve">This SOP aims to ensure that the </w:t>
      </w:r>
      <w:r w:rsidR="00EF6EDC">
        <w:t>conduct of human subject</w:t>
      </w:r>
      <w:r w:rsidR="002F5B2C">
        <w:t xml:space="preserve"> research in the Cebu Institute of Medicine and Cebu Velez General Hospital are done in accordance with national and International guidelines on human subjects Research.</w:t>
      </w:r>
      <w:r w:rsidR="00EF6EDC">
        <w:t xml:space="preserve">    The Primary objective of this policy is to safeguard the rights</w:t>
      </w:r>
      <w:r w:rsidR="000E413D">
        <w:t>,</w:t>
      </w:r>
      <w:r w:rsidR="00EF6EDC">
        <w:t xml:space="preserve"> welfare </w:t>
      </w:r>
      <w:r w:rsidR="000E413D">
        <w:t xml:space="preserve">and wellbeing </w:t>
      </w:r>
      <w:r w:rsidR="00EF6EDC">
        <w:t>of the human subjects under research within the jurisdiction of the 2 institutions.</w:t>
      </w:r>
    </w:p>
    <w:p w:rsidR="000C4771" w:rsidRPr="00D630D4" w:rsidRDefault="000C4771" w:rsidP="00AB5B9A">
      <w:pPr>
        <w:pStyle w:val="NoSpacing"/>
        <w:ind w:left="360"/>
        <w:jc w:val="both"/>
      </w:pPr>
    </w:p>
    <w:p w:rsidR="007266CD" w:rsidRPr="00D630D4" w:rsidRDefault="00EF4E01" w:rsidP="00AB5B9A">
      <w:pPr>
        <w:pStyle w:val="NoSpacing"/>
        <w:numPr>
          <w:ilvl w:val="0"/>
          <w:numId w:val="3"/>
        </w:numPr>
        <w:jc w:val="both"/>
        <w:rPr>
          <w:b/>
        </w:rPr>
      </w:pPr>
      <w:r w:rsidRPr="00D630D4">
        <w:rPr>
          <w:b/>
        </w:rPr>
        <w:t xml:space="preserve">Scope: </w:t>
      </w:r>
    </w:p>
    <w:p w:rsidR="003D2CD1" w:rsidRDefault="00962F75" w:rsidP="00AB5B9A">
      <w:pPr>
        <w:pStyle w:val="NoSpacing"/>
        <w:ind w:left="360"/>
        <w:jc w:val="both"/>
      </w:pPr>
      <w:r w:rsidRPr="00962F75">
        <w:t xml:space="preserve">This </w:t>
      </w:r>
      <w:r w:rsidR="002F5B2C">
        <w:t>Policy</w:t>
      </w:r>
      <w:r w:rsidRPr="00962F75">
        <w:t xml:space="preserve"> applies </w:t>
      </w:r>
      <w:r w:rsidR="00F600E2">
        <w:t xml:space="preserve">to all faculty, </w:t>
      </w:r>
      <w:r w:rsidR="002F5B2C">
        <w:t>students</w:t>
      </w:r>
      <w:r w:rsidR="00F600E2">
        <w:t>,</w:t>
      </w:r>
      <w:r w:rsidR="002F5B2C">
        <w:t xml:space="preserve"> staff</w:t>
      </w:r>
      <w:r w:rsidR="00F600E2">
        <w:t>,</w:t>
      </w:r>
      <w:r w:rsidR="002F5B2C">
        <w:t xml:space="preserve"> resident</w:t>
      </w:r>
      <w:r w:rsidR="00F600E2">
        <w:t>s</w:t>
      </w:r>
      <w:r w:rsidR="002F5B2C">
        <w:t xml:space="preserve"> and consultants conducting or planning to conduct human Subjects Research in CIM-CVGH.  Principal Investigators outside of CIM-CVGH may also submit proposals for review by the CIM-CVGH IRB.</w:t>
      </w:r>
    </w:p>
    <w:p w:rsidR="00962F75" w:rsidRPr="00D630D4" w:rsidRDefault="00962F75" w:rsidP="00AB5B9A">
      <w:pPr>
        <w:pStyle w:val="NoSpacing"/>
        <w:ind w:left="360"/>
        <w:jc w:val="both"/>
      </w:pPr>
    </w:p>
    <w:p w:rsidR="003D2CD1" w:rsidRPr="00D630D4" w:rsidRDefault="001E4924" w:rsidP="00AB5B9A">
      <w:pPr>
        <w:pStyle w:val="NoSpacing"/>
        <w:numPr>
          <w:ilvl w:val="0"/>
          <w:numId w:val="3"/>
        </w:numPr>
        <w:jc w:val="both"/>
      </w:pPr>
      <w:r w:rsidRPr="00D630D4">
        <w:rPr>
          <w:b/>
        </w:rPr>
        <w:t>Responsibilities</w:t>
      </w:r>
    </w:p>
    <w:p w:rsidR="00A92AEF" w:rsidRPr="00D630D4" w:rsidRDefault="002F5B2C" w:rsidP="00AB5B9A">
      <w:pPr>
        <w:pStyle w:val="NoSpacing"/>
        <w:ind w:left="360"/>
        <w:jc w:val="both"/>
      </w:pPr>
      <w:r>
        <w:t xml:space="preserve">The CIM-CVGH IRB is responsible for the </w:t>
      </w:r>
      <w:proofErr w:type="spellStart"/>
      <w:r>
        <w:t>acceptanc</w:t>
      </w:r>
      <w:proofErr w:type="gramStart"/>
      <w:r w:rsidR="00874E44">
        <w:t>,</w:t>
      </w:r>
      <w:r>
        <w:t>e</w:t>
      </w:r>
      <w:proofErr w:type="spellEnd"/>
      <w:proofErr w:type="gramEnd"/>
      <w:r>
        <w:t xml:space="preserve"> review, approval and continuing review of proposals on human subjects research submitted to</w:t>
      </w:r>
      <w:r w:rsidR="00747A91" w:rsidRPr="00D630D4">
        <w:t xml:space="preserve"> the CIM-CVGH IRB.</w:t>
      </w:r>
    </w:p>
    <w:p w:rsidR="00F6441E" w:rsidRPr="00EF6EDC" w:rsidRDefault="00F6441E" w:rsidP="00AB5B9A">
      <w:pPr>
        <w:pStyle w:val="NoSpacing"/>
        <w:ind w:left="360"/>
        <w:jc w:val="both"/>
        <w:rPr>
          <w:b/>
        </w:rPr>
      </w:pPr>
    </w:p>
    <w:p w:rsidR="00EF6EDC" w:rsidRDefault="00EF6EDC" w:rsidP="00AB5B9A">
      <w:pPr>
        <w:pStyle w:val="NoSpacing"/>
        <w:numPr>
          <w:ilvl w:val="0"/>
          <w:numId w:val="3"/>
        </w:numPr>
        <w:jc w:val="both"/>
        <w:rPr>
          <w:b/>
        </w:rPr>
      </w:pPr>
      <w:r w:rsidRPr="00EF6EDC">
        <w:rPr>
          <w:b/>
        </w:rPr>
        <w:t>Definition</w:t>
      </w:r>
    </w:p>
    <w:p w:rsidR="00EF6EDC" w:rsidRDefault="00EF6EDC" w:rsidP="00EF6EDC">
      <w:pPr>
        <w:pStyle w:val="NoSpacing"/>
        <w:ind w:left="360"/>
        <w:jc w:val="both"/>
      </w:pPr>
      <w:r>
        <w:rPr>
          <w:b/>
        </w:rPr>
        <w:t>Human Subject</w:t>
      </w:r>
      <w:r>
        <w:t xml:space="preserve"> means a living individual about whom an investigator conducting research obtains (1) data through intervention or inte</w:t>
      </w:r>
      <w:r w:rsidR="00874E44">
        <w:t xml:space="preserve">raction with the </w:t>
      </w:r>
      <w:proofErr w:type="gramStart"/>
      <w:r w:rsidR="00690E72">
        <w:t xml:space="preserve">individual, or </w:t>
      </w:r>
      <w:r>
        <w:t>(2) identifiable</w:t>
      </w:r>
      <w:proofErr w:type="gramEnd"/>
      <w:r>
        <w:t xml:space="preserve"> private information</w:t>
      </w:r>
      <w:r w:rsidR="00690E72">
        <w:t>.</w:t>
      </w:r>
    </w:p>
    <w:p w:rsidR="00EF6EDC" w:rsidRPr="00EF6EDC" w:rsidRDefault="00EF6EDC" w:rsidP="00EF6EDC">
      <w:pPr>
        <w:pStyle w:val="NoSpacing"/>
        <w:ind w:left="360"/>
        <w:jc w:val="both"/>
      </w:pPr>
    </w:p>
    <w:p w:rsidR="00F6441E" w:rsidRPr="00D630D4" w:rsidRDefault="006C1CF2" w:rsidP="00AB5B9A">
      <w:pPr>
        <w:pStyle w:val="NoSpacing"/>
        <w:numPr>
          <w:ilvl w:val="0"/>
          <w:numId w:val="3"/>
        </w:numPr>
        <w:jc w:val="both"/>
      </w:pPr>
      <w:r w:rsidRPr="00D630D4">
        <w:rPr>
          <w:b/>
        </w:rPr>
        <w:t>Workflow</w:t>
      </w:r>
      <w:r w:rsidR="00EF6EDC">
        <w:rPr>
          <w:b/>
        </w:rPr>
        <w:t xml:space="preserve"> (Refer to Pert</w:t>
      </w:r>
      <w:r w:rsidR="00690E72">
        <w:rPr>
          <w:b/>
        </w:rPr>
        <w:t>i</w:t>
      </w:r>
      <w:r w:rsidR="00EF6EDC">
        <w:rPr>
          <w:b/>
        </w:rPr>
        <w:t>nent SOPs that follows)</w:t>
      </w:r>
    </w:p>
    <w:p w:rsidR="00470828" w:rsidRPr="00D630D4" w:rsidRDefault="00470828" w:rsidP="009C35A6">
      <w:pPr>
        <w:pStyle w:val="NoSpacing"/>
        <w:jc w:val="both"/>
        <w:rPr>
          <w:b/>
        </w:rPr>
      </w:pPr>
    </w:p>
    <w:p w:rsidR="004027A6" w:rsidRPr="009C35A6" w:rsidRDefault="002C27A2" w:rsidP="002C27A2">
      <w:pPr>
        <w:pStyle w:val="NoSpacing"/>
        <w:numPr>
          <w:ilvl w:val="0"/>
          <w:numId w:val="3"/>
        </w:numPr>
        <w:jc w:val="both"/>
        <w:rPr>
          <w:b/>
        </w:rPr>
      </w:pPr>
      <w:r w:rsidRPr="009C35A6">
        <w:rPr>
          <w:b/>
        </w:rPr>
        <w:t>Forms:</w:t>
      </w:r>
    </w:p>
    <w:p w:rsidR="00EF6EDC" w:rsidRPr="00EF6EDC" w:rsidRDefault="00EF6EDC" w:rsidP="00EF6EDC">
      <w:pPr>
        <w:pStyle w:val="NoSpacing"/>
        <w:ind w:left="360"/>
        <w:jc w:val="both"/>
        <w:rPr>
          <w:b/>
        </w:rPr>
      </w:pPr>
      <w:r w:rsidRPr="00EF6EDC">
        <w:rPr>
          <w:b/>
        </w:rPr>
        <w:t xml:space="preserve">None </w:t>
      </w:r>
    </w:p>
    <w:p w:rsidR="001C1608" w:rsidRDefault="001C1608" w:rsidP="007E7D4D">
      <w:pPr>
        <w:pStyle w:val="NoSpacing"/>
        <w:jc w:val="both"/>
      </w:pPr>
    </w:p>
    <w:p w:rsidR="001A3606" w:rsidRDefault="001A3606" w:rsidP="001A3606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History</w:t>
      </w:r>
      <w:r w:rsidRPr="009C35A6">
        <w:rPr>
          <w:b/>
        </w:rPr>
        <w:t>:</w:t>
      </w:r>
    </w:p>
    <w:p w:rsidR="001A3606" w:rsidRPr="009C35A6" w:rsidRDefault="001A3606" w:rsidP="001A3606">
      <w:pPr>
        <w:pStyle w:val="NoSpacing"/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530"/>
        <w:gridCol w:w="1736"/>
        <w:gridCol w:w="3304"/>
      </w:tblGrid>
      <w:tr w:rsidR="001A3606" w:rsidRPr="00F024B0" w:rsidTr="00013293">
        <w:trPr>
          <w:trHeight w:val="152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1A3606" w:rsidRPr="009C35A6" w:rsidRDefault="001A3606" w:rsidP="00013293">
            <w:pPr>
              <w:spacing w:line="100" w:lineRule="atLeast"/>
              <w:jc w:val="both"/>
              <w:rPr>
                <w:rFonts w:cs="Palatino Linotype"/>
                <w:b/>
                <w:i/>
              </w:rPr>
            </w:pPr>
            <w:r w:rsidRPr="009C35A6">
              <w:rPr>
                <w:rFonts w:cs="Palatino Linotype"/>
                <w:b/>
                <w:i/>
              </w:rPr>
              <w:t>Version No.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A3606" w:rsidRPr="00F024B0" w:rsidRDefault="001A3606" w:rsidP="00013293">
            <w:pPr>
              <w:spacing w:line="100" w:lineRule="atLeast"/>
              <w:contextualSpacing/>
              <w:jc w:val="both"/>
              <w:rPr>
                <w:rFonts w:cs="Palatino Linotype"/>
                <w:b/>
                <w:i/>
              </w:rPr>
            </w:pPr>
            <w:r w:rsidRPr="00F024B0">
              <w:rPr>
                <w:rFonts w:cs="Palatino Linotype"/>
                <w:b/>
                <w:i/>
              </w:rPr>
              <w:t>Date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A3606" w:rsidRPr="00F024B0" w:rsidRDefault="001A3606" w:rsidP="00013293">
            <w:pPr>
              <w:spacing w:line="100" w:lineRule="atLeast"/>
              <w:contextualSpacing/>
              <w:jc w:val="both"/>
              <w:rPr>
                <w:rFonts w:cs="Palatino Linotype"/>
                <w:b/>
                <w:i/>
              </w:rPr>
            </w:pPr>
            <w:r w:rsidRPr="00F024B0">
              <w:rPr>
                <w:rFonts w:cs="Palatino Linotype"/>
                <w:b/>
                <w:i/>
              </w:rPr>
              <w:t>Authors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A3606" w:rsidRPr="00F024B0" w:rsidRDefault="001A3606" w:rsidP="00013293">
            <w:pPr>
              <w:spacing w:line="100" w:lineRule="atLeast"/>
              <w:contextualSpacing/>
              <w:jc w:val="both"/>
              <w:rPr>
                <w:rFonts w:cs="Palatino Linotype"/>
                <w:b/>
                <w:i/>
              </w:rPr>
            </w:pPr>
            <w:r w:rsidRPr="00F024B0">
              <w:rPr>
                <w:rFonts w:cs="Palatino Linotype"/>
                <w:b/>
                <w:i/>
              </w:rPr>
              <w:t>Main Change</w:t>
            </w:r>
          </w:p>
        </w:tc>
      </w:tr>
      <w:tr w:rsidR="001A3606" w:rsidRPr="00F024B0" w:rsidTr="00013293">
        <w:trPr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1A3606" w:rsidRPr="00F024B0" w:rsidRDefault="00690E72" w:rsidP="00013293">
            <w:pPr>
              <w:spacing w:line="100" w:lineRule="atLeast"/>
              <w:contextualSpacing/>
              <w:jc w:val="center"/>
              <w:rPr>
                <w:rFonts w:cs="Palatino Linotype"/>
                <w:i/>
              </w:rPr>
            </w:pPr>
            <w:r>
              <w:rPr>
                <w:rFonts w:cs="Palatino Linotype"/>
                <w:i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A3606" w:rsidRPr="00F024B0" w:rsidRDefault="00F617AC" w:rsidP="00013293">
            <w:pPr>
              <w:spacing w:line="100" w:lineRule="atLeast"/>
              <w:contextualSpacing/>
              <w:jc w:val="both"/>
              <w:rPr>
                <w:rFonts w:cs="Palatino Linotype"/>
                <w:i/>
              </w:rPr>
            </w:pPr>
            <w:r>
              <w:rPr>
                <w:rFonts w:cs="Palatino Linotype"/>
                <w:i/>
              </w:rPr>
              <w:t>April 10, 2016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A3606" w:rsidRPr="00F024B0" w:rsidRDefault="001A3606" w:rsidP="00013293">
            <w:pPr>
              <w:spacing w:line="100" w:lineRule="atLeast"/>
              <w:contextualSpacing/>
              <w:jc w:val="both"/>
              <w:rPr>
                <w:rFonts w:cs="Palatino Linotype"/>
                <w:i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A3606" w:rsidRPr="00F024B0" w:rsidRDefault="001A3606" w:rsidP="00013293">
            <w:pPr>
              <w:spacing w:line="100" w:lineRule="atLeast"/>
              <w:contextualSpacing/>
              <w:jc w:val="both"/>
              <w:rPr>
                <w:rFonts w:cs="Palatino Linotype"/>
                <w:i/>
              </w:rPr>
            </w:pPr>
            <w:r>
              <w:rPr>
                <w:rFonts w:cs="Palatino Linotype"/>
                <w:i/>
              </w:rPr>
              <w:t>First Draft</w:t>
            </w:r>
          </w:p>
        </w:tc>
      </w:tr>
    </w:tbl>
    <w:p w:rsidR="001A3606" w:rsidRDefault="001A3606" w:rsidP="001A3606">
      <w:pPr>
        <w:widowControl/>
        <w:spacing w:after="200" w:line="276" w:lineRule="auto"/>
      </w:pPr>
    </w:p>
    <w:p w:rsidR="00874E44" w:rsidRDefault="00874E44">
      <w:pPr>
        <w:widowControl/>
        <w:spacing w:after="200" w:line="276" w:lineRule="auto"/>
        <w:rPr>
          <w:rFonts w:eastAsiaTheme="minorEastAsia"/>
          <w:b/>
        </w:rPr>
      </w:pPr>
      <w:r>
        <w:rPr>
          <w:b/>
        </w:rPr>
        <w:br w:type="page"/>
      </w:r>
    </w:p>
    <w:p w:rsidR="00D24970" w:rsidRDefault="00D24970" w:rsidP="009C35A6">
      <w:pPr>
        <w:pStyle w:val="NoSpacing"/>
        <w:numPr>
          <w:ilvl w:val="0"/>
          <w:numId w:val="3"/>
        </w:num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References:</w:t>
      </w:r>
    </w:p>
    <w:p w:rsidR="00D24970" w:rsidRDefault="00D24970" w:rsidP="00D24970">
      <w:pPr>
        <w:pStyle w:val="NoSpacing"/>
        <w:ind w:left="360"/>
        <w:jc w:val="both"/>
      </w:pPr>
    </w:p>
    <w:p w:rsidR="00D24970" w:rsidRDefault="00D24970" w:rsidP="00D24970">
      <w:pPr>
        <w:pStyle w:val="NoSpacing"/>
        <w:numPr>
          <w:ilvl w:val="0"/>
          <w:numId w:val="8"/>
        </w:numPr>
        <w:jc w:val="both"/>
      </w:pPr>
      <w:r w:rsidRPr="00D24970">
        <w:t>Philippine  Health Research Ethics Board (PHREB)</w:t>
      </w:r>
      <w:r>
        <w:t xml:space="preserve"> Workbook 2015</w:t>
      </w:r>
    </w:p>
    <w:p w:rsidR="00D24970" w:rsidRDefault="00D24970" w:rsidP="004029DE">
      <w:pPr>
        <w:pStyle w:val="NoSpacing"/>
        <w:numPr>
          <w:ilvl w:val="0"/>
          <w:numId w:val="8"/>
        </w:numPr>
        <w:jc w:val="both"/>
      </w:pPr>
      <w:r>
        <w:t xml:space="preserve">World Health Organization, Operational Guidelines for Ethics </w:t>
      </w:r>
      <w:r w:rsidR="004029DE">
        <w:t>Committees that</w:t>
      </w:r>
      <w:r>
        <w:t xml:space="preserve"> Review Biomedical Research, 2000.</w:t>
      </w:r>
    </w:p>
    <w:p w:rsidR="00D24970" w:rsidRDefault="00D24970" w:rsidP="00D24970">
      <w:pPr>
        <w:pStyle w:val="NoSpacing"/>
        <w:numPr>
          <w:ilvl w:val="0"/>
          <w:numId w:val="8"/>
        </w:numPr>
        <w:jc w:val="both"/>
      </w:pPr>
      <w:r>
        <w:t>International Conference on Harmonization, Guidance on Good Clinical Practice (ICH GCP) 1996.</w:t>
      </w:r>
    </w:p>
    <w:p w:rsidR="00D24970" w:rsidRDefault="00D24970" w:rsidP="00D24970">
      <w:pPr>
        <w:pStyle w:val="NoSpacing"/>
        <w:numPr>
          <w:ilvl w:val="0"/>
          <w:numId w:val="8"/>
        </w:numPr>
        <w:jc w:val="both"/>
      </w:pPr>
      <w:r>
        <w:t>National Ethical Guidelines for Health Research 2011 PNHRS</w:t>
      </w:r>
    </w:p>
    <w:p w:rsidR="00690E72" w:rsidRDefault="006F5CE5" w:rsidP="00D24970">
      <w:pPr>
        <w:pStyle w:val="NoSpacing"/>
        <w:numPr>
          <w:ilvl w:val="0"/>
          <w:numId w:val="8"/>
        </w:numPr>
        <w:jc w:val="both"/>
      </w:pPr>
      <w:r>
        <w:t>Belmont Re</w:t>
      </w:r>
      <w:r w:rsidR="00690E72">
        <w:t>port</w:t>
      </w:r>
    </w:p>
    <w:p w:rsidR="00690E72" w:rsidRDefault="00690E72" w:rsidP="00D24970">
      <w:pPr>
        <w:pStyle w:val="NoSpacing"/>
        <w:numPr>
          <w:ilvl w:val="0"/>
          <w:numId w:val="8"/>
        </w:numPr>
        <w:jc w:val="both"/>
      </w:pPr>
      <w:r>
        <w:t>Declaration of Helsinki</w:t>
      </w:r>
    </w:p>
    <w:p w:rsidR="00690E72" w:rsidRDefault="000E413D" w:rsidP="000E413D">
      <w:pPr>
        <w:pStyle w:val="NoSpacing"/>
        <w:numPr>
          <w:ilvl w:val="0"/>
          <w:numId w:val="8"/>
        </w:numPr>
        <w:jc w:val="both"/>
      </w:pPr>
      <w:r w:rsidRPr="000E413D">
        <w:t>Federal Policy for the Protection of Human Subjects</w:t>
      </w:r>
      <w:r w:rsidR="00690E72">
        <w:t>2018</w:t>
      </w:r>
    </w:p>
    <w:p w:rsidR="005B30DE" w:rsidRPr="00D630D4" w:rsidRDefault="005B30DE" w:rsidP="00DC2AF3">
      <w:pPr>
        <w:pStyle w:val="NoSpacing"/>
        <w:jc w:val="both"/>
      </w:pPr>
    </w:p>
    <w:sectPr w:rsidR="005B30DE" w:rsidRPr="00D630D4" w:rsidSect="00A97819">
      <w:headerReference w:type="default" r:id="rId7"/>
      <w:footerReference w:type="default" r:id="rId8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B1" w:rsidRDefault="001C6BB1" w:rsidP="007749A4">
      <w:r>
        <w:separator/>
      </w:r>
    </w:p>
  </w:endnote>
  <w:endnote w:type="continuationSeparator" w:id="1">
    <w:p w:rsidR="001C6BB1" w:rsidRDefault="001C6BB1" w:rsidP="0077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2241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F556D" w:rsidRDefault="007F556D">
            <w:pPr>
              <w:pStyle w:val="Footer"/>
              <w:jc w:val="right"/>
            </w:pPr>
            <w:r>
              <w:t xml:space="preserve">Page </w:t>
            </w:r>
            <w:r w:rsidR="007178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178D5">
              <w:rPr>
                <w:b/>
                <w:bCs/>
                <w:sz w:val="24"/>
                <w:szCs w:val="24"/>
              </w:rPr>
              <w:fldChar w:fldCharType="separate"/>
            </w:r>
            <w:r w:rsidR="00AF33AB">
              <w:rPr>
                <w:b/>
                <w:bCs/>
                <w:noProof/>
              </w:rPr>
              <w:t>1</w:t>
            </w:r>
            <w:r w:rsidR="007178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178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178D5">
              <w:rPr>
                <w:b/>
                <w:bCs/>
                <w:sz w:val="24"/>
                <w:szCs w:val="24"/>
              </w:rPr>
              <w:fldChar w:fldCharType="separate"/>
            </w:r>
            <w:r w:rsidR="00AF33AB">
              <w:rPr>
                <w:b/>
                <w:bCs/>
                <w:noProof/>
              </w:rPr>
              <w:t>2</w:t>
            </w:r>
            <w:r w:rsidR="007178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556D" w:rsidRDefault="007F5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B1" w:rsidRDefault="001C6BB1" w:rsidP="007749A4">
      <w:r>
        <w:separator/>
      </w:r>
    </w:p>
  </w:footnote>
  <w:footnote w:type="continuationSeparator" w:id="1">
    <w:p w:rsidR="001C6BB1" w:rsidRDefault="001C6BB1" w:rsidP="0077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77" w:rsidRDefault="00EA4177">
    <w:pPr>
      <w:pStyle w:val="Header"/>
    </w:pPr>
  </w:p>
  <w:tbl>
    <w:tblPr>
      <w:tblW w:w="98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526"/>
      <w:gridCol w:w="6682"/>
      <w:gridCol w:w="1620"/>
    </w:tblGrid>
    <w:tr w:rsidR="00EA4177" w:rsidTr="00A97819">
      <w:trPr>
        <w:trHeight w:val="1070"/>
      </w:trPr>
      <w:tc>
        <w:tcPr>
          <w:tcW w:w="1526" w:type="dxa"/>
        </w:tcPr>
        <w:p w:rsidR="00EA4177" w:rsidRDefault="00EA4177" w:rsidP="00EA4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26465" cy="829310"/>
                <wp:effectExtent l="0" t="0" r="6985" b="889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2" w:type="dxa"/>
          <w:vAlign w:val="center"/>
        </w:tcPr>
        <w:p w:rsidR="00EA4177" w:rsidRPr="00C55A14" w:rsidRDefault="00EA4177" w:rsidP="00EA4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 w:rsidRPr="00C55A14">
            <w:rPr>
              <w:b/>
              <w:color w:val="000000"/>
            </w:rPr>
            <w:t>CEBU INSTITUTE OF MEDICINE – CEBU VELEZ GENERAL HOSPITAL INSTITIONAL REVIEW BOARD</w:t>
          </w:r>
        </w:p>
      </w:tc>
      <w:tc>
        <w:tcPr>
          <w:tcW w:w="1620" w:type="dxa"/>
        </w:tcPr>
        <w:p w:rsidR="00EA4177" w:rsidRDefault="00EA4177" w:rsidP="00EA4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97507</wp:posOffset>
                </wp:positionH>
                <wp:positionV relativeFrom="paragraph">
                  <wp:posOffset>68377</wp:posOffset>
                </wp:positionV>
                <wp:extent cx="713105" cy="72517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EA4177" w:rsidRPr="00C55A14" w:rsidTr="00A97819">
      <w:trPr>
        <w:trHeight w:val="371"/>
      </w:trPr>
      <w:tc>
        <w:tcPr>
          <w:tcW w:w="1526" w:type="dxa"/>
          <w:tcBorders>
            <w:bottom w:val="single" w:sz="4" w:space="0" w:color="000000"/>
          </w:tcBorders>
        </w:tcPr>
        <w:p w:rsidR="00EA4177" w:rsidRPr="00C55A14" w:rsidRDefault="00EA4177" w:rsidP="007749A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 w:rsidRPr="00C55A14">
            <w:rPr>
              <w:color w:val="000000"/>
            </w:rPr>
            <w:t>Version 1</w:t>
          </w:r>
        </w:p>
      </w:tc>
      <w:tc>
        <w:tcPr>
          <w:tcW w:w="6682" w:type="dxa"/>
          <w:tcBorders>
            <w:bottom w:val="single" w:sz="4" w:space="0" w:color="000000"/>
          </w:tcBorders>
        </w:tcPr>
        <w:p w:rsidR="00EA4177" w:rsidRPr="00C55A14" w:rsidRDefault="00EF6EDC" w:rsidP="002F5B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 w:cs="Arial"/>
              <w:b/>
              <w:color w:val="000000"/>
            </w:rPr>
          </w:pPr>
          <w:r>
            <w:rPr>
              <w:rFonts w:eastAsia="Arial" w:cs="Arial"/>
              <w:b/>
              <w:color w:val="000000"/>
              <w:sz w:val="28"/>
            </w:rPr>
            <w:t xml:space="preserve">Cover </w:t>
          </w:r>
          <w:r w:rsidR="002F5B2C">
            <w:rPr>
              <w:rFonts w:eastAsia="Arial" w:cs="Arial"/>
              <w:b/>
              <w:color w:val="000000"/>
              <w:sz w:val="28"/>
            </w:rPr>
            <w:t>Policy on Research on Human Subjects</w:t>
          </w:r>
        </w:p>
      </w:tc>
      <w:tc>
        <w:tcPr>
          <w:tcW w:w="1620" w:type="dxa"/>
          <w:tcBorders>
            <w:bottom w:val="single" w:sz="4" w:space="0" w:color="000000"/>
          </w:tcBorders>
        </w:tcPr>
        <w:p w:rsidR="00EA4177" w:rsidRDefault="00EA4177" w:rsidP="00EA4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 w:rsidRPr="00C55A14">
            <w:rPr>
              <w:color w:val="000000"/>
            </w:rPr>
            <w:t>Effective Date:</w:t>
          </w:r>
        </w:p>
        <w:p w:rsidR="00AD110B" w:rsidRPr="00C55A14" w:rsidRDefault="006F5CE5" w:rsidP="00EA4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color w:val="000000"/>
            </w:rPr>
            <w:t>January 2,2019</w:t>
          </w:r>
        </w:p>
        <w:p w:rsidR="00EA4177" w:rsidRPr="00C55A14" w:rsidRDefault="00EA4177" w:rsidP="00EA41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</w:tr>
  </w:tbl>
  <w:p w:rsidR="00EA4177" w:rsidRDefault="00EA41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60F3"/>
    <w:multiLevelType w:val="hybridMultilevel"/>
    <w:tmpl w:val="3AB46DC2"/>
    <w:lvl w:ilvl="0" w:tplc="34090001">
      <w:start w:val="1"/>
      <w:numFmt w:val="bullet"/>
      <w:lvlText w:val=""/>
      <w:lvlJc w:val="left"/>
      <w:pPr>
        <w:ind w:hanging="360"/>
        <w:jc w:val="left"/>
      </w:pPr>
      <w:rPr>
        <w:rFonts w:ascii="Symbol" w:hAnsi="Symbol" w:hint="default"/>
        <w:spacing w:val="2"/>
        <w:w w:val="102"/>
        <w:sz w:val="22"/>
        <w:szCs w:val="22"/>
      </w:rPr>
    </w:lvl>
    <w:lvl w:ilvl="1" w:tplc="B986E3B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4"/>
        <w:sz w:val="22"/>
        <w:szCs w:val="22"/>
      </w:rPr>
    </w:lvl>
    <w:lvl w:ilvl="2" w:tplc="84BA3A44">
      <w:start w:val="1"/>
      <w:numFmt w:val="bullet"/>
      <w:lvlText w:val="•"/>
      <w:lvlJc w:val="left"/>
      <w:rPr>
        <w:rFonts w:hint="default"/>
      </w:rPr>
    </w:lvl>
    <w:lvl w:ilvl="3" w:tplc="C42C602E">
      <w:start w:val="1"/>
      <w:numFmt w:val="bullet"/>
      <w:lvlText w:val="•"/>
      <w:lvlJc w:val="left"/>
      <w:rPr>
        <w:rFonts w:hint="default"/>
      </w:rPr>
    </w:lvl>
    <w:lvl w:ilvl="4" w:tplc="1CE61002">
      <w:start w:val="1"/>
      <w:numFmt w:val="bullet"/>
      <w:lvlText w:val="•"/>
      <w:lvlJc w:val="left"/>
      <w:rPr>
        <w:rFonts w:hint="default"/>
      </w:rPr>
    </w:lvl>
    <w:lvl w:ilvl="5" w:tplc="65D2A734">
      <w:start w:val="1"/>
      <w:numFmt w:val="bullet"/>
      <w:lvlText w:val="•"/>
      <w:lvlJc w:val="left"/>
      <w:rPr>
        <w:rFonts w:hint="default"/>
      </w:rPr>
    </w:lvl>
    <w:lvl w:ilvl="6" w:tplc="0A2EDB1E">
      <w:start w:val="1"/>
      <w:numFmt w:val="bullet"/>
      <w:lvlText w:val="•"/>
      <w:lvlJc w:val="left"/>
      <w:rPr>
        <w:rFonts w:hint="default"/>
      </w:rPr>
    </w:lvl>
    <w:lvl w:ilvl="7" w:tplc="A08E08B2">
      <w:start w:val="1"/>
      <w:numFmt w:val="bullet"/>
      <w:lvlText w:val="•"/>
      <w:lvlJc w:val="left"/>
      <w:rPr>
        <w:rFonts w:hint="default"/>
      </w:rPr>
    </w:lvl>
    <w:lvl w:ilvl="8" w:tplc="14C64B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2B622F0"/>
    <w:multiLevelType w:val="hybridMultilevel"/>
    <w:tmpl w:val="20FA6D8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B424C1"/>
    <w:multiLevelType w:val="hybridMultilevel"/>
    <w:tmpl w:val="703049A6"/>
    <w:lvl w:ilvl="0" w:tplc="3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42C559E"/>
    <w:multiLevelType w:val="multilevel"/>
    <w:tmpl w:val="949EED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186E4F"/>
    <w:multiLevelType w:val="hybridMultilevel"/>
    <w:tmpl w:val="3AB24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F1ABB"/>
    <w:multiLevelType w:val="hybridMultilevel"/>
    <w:tmpl w:val="56D4536E"/>
    <w:lvl w:ilvl="0" w:tplc="30FEE4F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4"/>
        <w:sz w:val="22"/>
        <w:szCs w:val="22"/>
      </w:rPr>
    </w:lvl>
    <w:lvl w:ilvl="1" w:tplc="0630DCB8">
      <w:start w:val="1"/>
      <w:numFmt w:val="bullet"/>
      <w:lvlText w:val="•"/>
      <w:lvlJc w:val="left"/>
      <w:rPr>
        <w:rFonts w:hint="default"/>
      </w:rPr>
    </w:lvl>
    <w:lvl w:ilvl="2" w:tplc="006A5B7C">
      <w:start w:val="1"/>
      <w:numFmt w:val="bullet"/>
      <w:lvlText w:val="•"/>
      <w:lvlJc w:val="left"/>
      <w:rPr>
        <w:rFonts w:hint="default"/>
      </w:rPr>
    </w:lvl>
    <w:lvl w:ilvl="3" w:tplc="36E2EC42">
      <w:start w:val="1"/>
      <w:numFmt w:val="bullet"/>
      <w:lvlText w:val="•"/>
      <w:lvlJc w:val="left"/>
      <w:rPr>
        <w:rFonts w:hint="default"/>
      </w:rPr>
    </w:lvl>
    <w:lvl w:ilvl="4" w:tplc="301E3596">
      <w:start w:val="1"/>
      <w:numFmt w:val="bullet"/>
      <w:lvlText w:val="•"/>
      <w:lvlJc w:val="left"/>
      <w:rPr>
        <w:rFonts w:hint="default"/>
      </w:rPr>
    </w:lvl>
    <w:lvl w:ilvl="5" w:tplc="06403D54">
      <w:start w:val="1"/>
      <w:numFmt w:val="bullet"/>
      <w:lvlText w:val="•"/>
      <w:lvlJc w:val="left"/>
      <w:rPr>
        <w:rFonts w:hint="default"/>
      </w:rPr>
    </w:lvl>
    <w:lvl w:ilvl="6" w:tplc="535C8464">
      <w:start w:val="1"/>
      <w:numFmt w:val="bullet"/>
      <w:lvlText w:val="•"/>
      <w:lvlJc w:val="left"/>
      <w:rPr>
        <w:rFonts w:hint="default"/>
      </w:rPr>
    </w:lvl>
    <w:lvl w:ilvl="7" w:tplc="5FD6F9D8">
      <w:start w:val="1"/>
      <w:numFmt w:val="bullet"/>
      <w:lvlText w:val="•"/>
      <w:lvlJc w:val="left"/>
      <w:rPr>
        <w:rFonts w:hint="default"/>
      </w:rPr>
    </w:lvl>
    <w:lvl w:ilvl="8" w:tplc="6502748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92312A7"/>
    <w:multiLevelType w:val="hybridMultilevel"/>
    <w:tmpl w:val="9CA02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E83A13"/>
    <w:multiLevelType w:val="hybridMultilevel"/>
    <w:tmpl w:val="79F88AC4"/>
    <w:lvl w:ilvl="0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8C"/>
    <w:rsid w:val="00014C5B"/>
    <w:rsid w:val="00031A92"/>
    <w:rsid w:val="00034F0D"/>
    <w:rsid w:val="00046D81"/>
    <w:rsid w:val="00047F08"/>
    <w:rsid w:val="00084413"/>
    <w:rsid w:val="00087329"/>
    <w:rsid w:val="000A193A"/>
    <w:rsid w:val="000B474F"/>
    <w:rsid w:val="000C4771"/>
    <w:rsid w:val="000E413D"/>
    <w:rsid w:val="000F0D0B"/>
    <w:rsid w:val="001016E6"/>
    <w:rsid w:val="001041B2"/>
    <w:rsid w:val="00127E4E"/>
    <w:rsid w:val="0016119D"/>
    <w:rsid w:val="00165509"/>
    <w:rsid w:val="001815E3"/>
    <w:rsid w:val="001961DA"/>
    <w:rsid w:val="001A3606"/>
    <w:rsid w:val="001C1608"/>
    <w:rsid w:val="001C6BB1"/>
    <w:rsid w:val="001D185B"/>
    <w:rsid w:val="001D236D"/>
    <w:rsid w:val="001E4924"/>
    <w:rsid w:val="001F5816"/>
    <w:rsid w:val="00202F09"/>
    <w:rsid w:val="002449BA"/>
    <w:rsid w:val="0026419D"/>
    <w:rsid w:val="002655BA"/>
    <w:rsid w:val="0027292D"/>
    <w:rsid w:val="002B6B13"/>
    <w:rsid w:val="002C27A2"/>
    <w:rsid w:val="002E28B0"/>
    <w:rsid w:val="002F5B2C"/>
    <w:rsid w:val="00300371"/>
    <w:rsid w:val="0031686D"/>
    <w:rsid w:val="00327532"/>
    <w:rsid w:val="003429DE"/>
    <w:rsid w:val="003503F0"/>
    <w:rsid w:val="003517EC"/>
    <w:rsid w:val="00357A6D"/>
    <w:rsid w:val="003633B2"/>
    <w:rsid w:val="00375F43"/>
    <w:rsid w:val="00376E85"/>
    <w:rsid w:val="00394B98"/>
    <w:rsid w:val="003D2CD1"/>
    <w:rsid w:val="003F0E58"/>
    <w:rsid w:val="003F2230"/>
    <w:rsid w:val="004027A6"/>
    <w:rsid w:val="004029DE"/>
    <w:rsid w:val="00410F06"/>
    <w:rsid w:val="00416215"/>
    <w:rsid w:val="00420F24"/>
    <w:rsid w:val="00453C8A"/>
    <w:rsid w:val="004561BF"/>
    <w:rsid w:val="00467C2D"/>
    <w:rsid w:val="00470828"/>
    <w:rsid w:val="00472C36"/>
    <w:rsid w:val="00476D74"/>
    <w:rsid w:val="00481DE7"/>
    <w:rsid w:val="00483B42"/>
    <w:rsid w:val="0048483F"/>
    <w:rsid w:val="00494638"/>
    <w:rsid w:val="004B12B6"/>
    <w:rsid w:val="004E7399"/>
    <w:rsid w:val="0057206F"/>
    <w:rsid w:val="00572D6E"/>
    <w:rsid w:val="00591FA1"/>
    <w:rsid w:val="0059684A"/>
    <w:rsid w:val="005A3E3C"/>
    <w:rsid w:val="005B30DE"/>
    <w:rsid w:val="005C0928"/>
    <w:rsid w:val="005D65EF"/>
    <w:rsid w:val="006061CE"/>
    <w:rsid w:val="00633DF6"/>
    <w:rsid w:val="0066426F"/>
    <w:rsid w:val="00690E72"/>
    <w:rsid w:val="006B23A6"/>
    <w:rsid w:val="006B68E0"/>
    <w:rsid w:val="006B7D46"/>
    <w:rsid w:val="006C1CF2"/>
    <w:rsid w:val="006D03C3"/>
    <w:rsid w:val="006F5CE5"/>
    <w:rsid w:val="006F62F5"/>
    <w:rsid w:val="006F6A2F"/>
    <w:rsid w:val="007178D5"/>
    <w:rsid w:val="007266CD"/>
    <w:rsid w:val="00741FF3"/>
    <w:rsid w:val="00744598"/>
    <w:rsid w:val="00747A91"/>
    <w:rsid w:val="007501B4"/>
    <w:rsid w:val="00755062"/>
    <w:rsid w:val="00760D3E"/>
    <w:rsid w:val="007749A4"/>
    <w:rsid w:val="00790D48"/>
    <w:rsid w:val="0079518B"/>
    <w:rsid w:val="007C10E5"/>
    <w:rsid w:val="007E7D4D"/>
    <w:rsid w:val="007F556D"/>
    <w:rsid w:val="007F77B5"/>
    <w:rsid w:val="008037E8"/>
    <w:rsid w:val="00814D8C"/>
    <w:rsid w:val="00817B98"/>
    <w:rsid w:val="008219D9"/>
    <w:rsid w:val="00822B73"/>
    <w:rsid w:val="008436CE"/>
    <w:rsid w:val="008516D8"/>
    <w:rsid w:val="00874E44"/>
    <w:rsid w:val="00892261"/>
    <w:rsid w:val="00895AD0"/>
    <w:rsid w:val="008C210D"/>
    <w:rsid w:val="008C2962"/>
    <w:rsid w:val="008E75E7"/>
    <w:rsid w:val="008F539E"/>
    <w:rsid w:val="0094469A"/>
    <w:rsid w:val="009579AC"/>
    <w:rsid w:val="00962F75"/>
    <w:rsid w:val="009646F9"/>
    <w:rsid w:val="00967667"/>
    <w:rsid w:val="00980C31"/>
    <w:rsid w:val="009955B5"/>
    <w:rsid w:val="009A6A3A"/>
    <w:rsid w:val="009B1155"/>
    <w:rsid w:val="009C228E"/>
    <w:rsid w:val="009C35A6"/>
    <w:rsid w:val="009D3CB0"/>
    <w:rsid w:val="009F0A7F"/>
    <w:rsid w:val="00A05EB8"/>
    <w:rsid w:val="00A30559"/>
    <w:rsid w:val="00A32225"/>
    <w:rsid w:val="00A40E71"/>
    <w:rsid w:val="00A4358C"/>
    <w:rsid w:val="00A6383B"/>
    <w:rsid w:val="00A73BE1"/>
    <w:rsid w:val="00A92AEF"/>
    <w:rsid w:val="00A948BD"/>
    <w:rsid w:val="00A97819"/>
    <w:rsid w:val="00AA6E24"/>
    <w:rsid w:val="00AB344F"/>
    <w:rsid w:val="00AB5B9A"/>
    <w:rsid w:val="00AC6473"/>
    <w:rsid w:val="00AD110B"/>
    <w:rsid w:val="00AD145A"/>
    <w:rsid w:val="00AD76C6"/>
    <w:rsid w:val="00AE1C91"/>
    <w:rsid w:val="00AF33AB"/>
    <w:rsid w:val="00B0201B"/>
    <w:rsid w:val="00B51977"/>
    <w:rsid w:val="00B83B70"/>
    <w:rsid w:val="00BA38F5"/>
    <w:rsid w:val="00BA503E"/>
    <w:rsid w:val="00C0110C"/>
    <w:rsid w:val="00C528A3"/>
    <w:rsid w:val="00C52E93"/>
    <w:rsid w:val="00C56B28"/>
    <w:rsid w:val="00CA545E"/>
    <w:rsid w:val="00CF17DE"/>
    <w:rsid w:val="00D03909"/>
    <w:rsid w:val="00D07AB0"/>
    <w:rsid w:val="00D10A41"/>
    <w:rsid w:val="00D24970"/>
    <w:rsid w:val="00D37177"/>
    <w:rsid w:val="00D4478C"/>
    <w:rsid w:val="00D630D4"/>
    <w:rsid w:val="00D64551"/>
    <w:rsid w:val="00D91518"/>
    <w:rsid w:val="00D947A7"/>
    <w:rsid w:val="00DC2AF3"/>
    <w:rsid w:val="00DC4162"/>
    <w:rsid w:val="00DD0E72"/>
    <w:rsid w:val="00DF6720"/>
    <w:rsid w:val="00E20205"/>
    <w:rsid w:val="00E207BE"/>
    <w:rsid w:val="00E404EC"/>
    <w:rsid w:val="00E40D7B"/>
    <w:rsid w:val="00E73298"/>
    <w:rsid w:val="00E9751E"/>
    <w:rsid w:val="00EA0C7C"/>
    <w:rsid w:val="00EA4177"/>
    <w:rsid w:val="00EE0484"/>
    <w:rsid w:val="00EF312D"/>
    <w:rsid w:val="00EF4E01"/>
    <w:rsid w:val="00EF6EDC"/>
    <w:rsid w:val="00F23032"/>
    <w:rsid w:val="00F600E2"/>
    <w:rsid w:val="00F617AC"/>
    <w:rsid w:val="00F63C99"/>
    <w:rsid w:val="00F6441E"/>
    <w:rsid w:val="00F705F9"/>
    <w:rsid w:val="00F744AD"/>
    <w:rsid w:val="00F773FA"/>
    <w:rsid w:val="00FB0526"/>
    <w:rsid w:val="00FB2BC4"/>
    <w:rsid w:val="00FC4BB3"/>
    <w:rsid w:val="00FE3A80"/>
    <w:rsid w:val="00FF1AAE"/>
    <w:rsid w:val="00FF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85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A4"/>
  </w:style>
  <w:style w:type="paragraph" w:styleId="Footer">
    <w:name w:val="footer"/>
    <w:basedOn w:val="Normal"/>
    <w:link w:val="FooterChar"/>
    <w:uiPriority w:val="99"/>
    <w:unhideWhenUsed/>
    <w:rsid w:val="00774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A4"/>
  </w:style>
  <w:style w:type="paragraph" w:styleId="BodyText">
    <w:name w:val="Body Text"/>
    <w:basedOn w:val="Normal"/>
    <w:link w:val="BodyTextChar"/>
    <w:uiPriority w:val="1"/>
    <w:qFormat/>
    <w:rsid w:val="007266CD"/>
    <w:pPr>
      <w:ind w:left="119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266CD"/>
    <w:rPr>
      <w:rFonts w:ascii="Arial" w:eastAsia="Arial" w:hAnsi="Arial"/>
    </w:rPr>
  </w:style>
  <w:style w:type="paragraph" w:styleId="NoSpacing">
    <w:name w:val="No Spacing"/>
    <w:uiPriority w:val="1"/>
    <w:qFormat/>
    <w:rsid w:val="00633DF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155"/>
    <w:pPr>
      <w:widowControl/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85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A4"/>
  </w:style>
  <w:style w:type="paragraph" w:styleId="Footer">
    <w:name w:val="footer"/>
    <w:basedOn w:val="Normal"/>
    <w:link w:val="FooterChar"/>
    <w:uiPriority w:val="99"/>
    <w:unhideWhenUsed/>
    <w:rsid w:val="00774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A4"/>
  </w:style>
  <w:style w:type="paragraph" w:styleId="BodyText">
    <w:name w:val="Body Text"/>
    <w:basedOn w:val="Normal"/>
    <w:link w:val="BodyTextChar"/>
    <w:uiPriority w:val="1"/>
    <w:qFormat/>
    <w:rsid w:val="007266CD"/>
    <w:pPr>
      <w:ind w:left="119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266CD"/>
    <w:rPr>
      <w:rFonts w:ascii="Arial" w:eastAsia="Arial" w:hAnsi="Arial"/>
    </w:rPr>
  </w:style>
  <w:style w:type="paragraph" w:styleId="NoSpacing">
    <w:name w:val="No Spacing"/>
    <w:uiPriority w:val="1"/>
    <w:qFormat/>
    <w:rsid w:val="00633DF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6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155"/>
    <w:pPr>
      <w:widowControl/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3</cp:revision>
  <cp:lastPrinted>2019-05-17T06:28:00Z</cp:lastPrinted>
  <dcterms:created xsi:type="dcterms:W3CDTF">2019-05-16T02:49:00Z</dcterms:created>
  <dcterms:modified xsi:type="dcterms:W3CDTF">2019-05-17T07:08:00Z</dcterms:modified>
</cp:coreProperties>
</file>